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DO TRABALHO: SUBTÍTULO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 houver)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EM OUTRO IDIOMA: SUBTÍTULO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 houver)</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discente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Symbol" w:cs="Symbol" w:eastAsia="Symbol" w:hAnsi="Symbol"/>
          <w:sz w:val="24"/>
          <w:szCs w:val="24"/>
          <w:vertAlign w:val="superscript"/>
          <w:rtl w:val="0"/>
        </w:rPr>
        <w:t xml:space="preserve">*</w:t>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docente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Symbol" w:cs="Symbol" w:eastAsia="Symbol" w:hAnsi="Symbol"/>
          <w:sz w:val="24"/>
          <w:szCs w:val="24"/>
          <w:vertAlign w:val="superscript"/>
          <w:rtl w:val="0"/>
        </w:rPr>
        <w:t xml:space="preserve">**</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A primeira frase deve ser significativa e relacionada ao tema. Deve apresentar os aspectos mais relevantes do trabalho, como objetivos, metodologia, resultados e conclusões. Usa-se o verbo na voz ativa e na terceira pessoa do singular. Evitar símbolos, contrações, fórmulas, equações, diagramas e recomenda-se evitar citações. Conforme a NBR 6028, a extensão do resumo para artigos deve conter de 100 a 250 palavras, dispostas em parágrafo único sem recuo e com espaçamento 1,0 entre linhas. Em seguida, deve-se indicar as palavras-chave, que devem ser separadas entre si por ponto e finalizadas também por ponto.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Palavra 1. Palavra 2. Palavra 3.</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Trata-se de uma versão do resumo para idioma de divulgação internacional. É um elemento obrigatório para o IFRN. Deve seguir os mesmos padrões do resumo na língua vernácula, conforme a NBR 6028.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pt1f1ivmbd3p"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Keywords: Palavra 1. Palavra 2. Palavra 3.</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tab/>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introdução deve-se expor a finalidade e os objetivos do trabalho de modo que se tenha uma visão geral do tema abordado.</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texto deve ser digitado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i w:val="1"/>
          <w:sz w:val="24"/>
          <w:szCs w:val="24"/>
          <w:rtl w:val="0"/>
        </w:rPr>
        <w:t xml:space="preserve">arial</w:t>
      </w:r>
      <w:r w:rsidDel="00000000" w:rsidR="00000000" w:rsidRPr="00000000">
        <w:rPr>
          <w:rFonts w:ascii="Times New Roman" w:cs="Times New Roman" w:eastAsia="Times New Roman" w:hAnsi="Times New Roman"/>
          <w:sz w:val="24"/>
          <w:szCs w:val="24"/>
          <w:rtl w:val="0"/>
        </w:rPr>
        <w:t xml:space="preserve">, tamanho 12, inclusive a capa, com exceção das citações com mais de três linhas, notas de rodapé, paginação, dados internacionais de catalogação-na-publicação (ficha catalográfica), legendas e fontes das ilustrações e das tabelas, que devem ser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i w:val="1"/>
          <w:sz w:val="24"/>
          <w:szCs w:val="24"/>
          <w:rtl w:val="0"/>
        </w:rPr>
        <w:t xml:space="preserve">arial</w:t>
      </w:r>
      <w:r w:rsidDel="00000000" w:rsidR="00000000" w:rsidRPr="00000000">
        <w:rPr>
          <w:rFonts w:ascii="Times New Roman" w:cs="Times New Roman" w:eastAsia="Times New Roman" w:hAnsi="Times New Roman"/>
          <w:sz w:val="24"/>
          <w:szCs w:val="24"/>
          <w:rtl w:val="0"/>
        </w:rPr>
        <w:t xml:space="preserve">, tamanho menor (10 ou 11)</w:t>
      </w: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24"/>
          <w:szCs w:val="24"/>
          <w:rtl w:val="0"/>
        </w:rPr>
        <w:t xml:space="preserve"> O texto deve ser justificado, exceto as referências, no final do trabalho, que devem ser alinhadas a esquerda.</w:t>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os autores citados, inclusive devem ter a referência incluída em lista no final no trabalho.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TÍTULO DA SEÇÃO PRIMÁRIA</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seções e subseções expõem, em uma sequência lógica, a inter-relação de assuntos tratados no texto.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seções podem ser subdivididas em até cinco subseções, diferenciando-as gradativamente. A seção primária deve ser em negrito e letras maiúsculas.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da Associação Brasileira de Normas Técnicas (ABNT)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DA SEÇÃO SECUNDÁRIA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Xx (2014)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Xxx e Yxxx (2013, p. 38),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(XXXXXX, 2015).</w:t>
      </w:r>
    </w:p>
    <w:p w:rsidR="00000000" w:rsidDel="00000000" w:rsidP="00000000" w:rsidRDefault="00000000" w:rsidRPr="00000000" w14:paraId="00000020">
      <w:pPr>
        <w:spacing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De acordo com Xxxx e Yyyy (2016, p. 16):</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da seção terciária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da seção quaternária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ilustração é a designação genérica das imagens que ilustram ou elucidam o texto. E devem ser identificadas por seu título especifico: desenho, esquema, fluxogramas, fotografia, gráfico, mapa, organograma, planta, quadro, retrato, figura e outros.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Sua identificação deve vir na parte superior da ilustração em tamanho 12, espaçamento simples, precedido por numeral arábico conforme sua sequência no texto, seguido por travessão e o seu respectivo título.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fonte deverá ser apresentada na parte inferior da ilustração, em tamanho menor, 10 ou 11.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Fotografia 1 - Gabarito oficial do exame de seleção 2017</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drawing>
          <wp:inline distB="0" distT="0" distL="0" distR="0">
            <wp:extent cx="3305175" cy="1123950"/>
            <wp:effectExtent b="0" l="0" r="0" t="0"/>
            <wp:docPr descr="Resultado de imagem para IFRN Central" id="1" name="image1.jpg"/>
            <a:graphic>
              <a:graphicData uri="http://schemas.openxmlformats.org/drawingml/2006/picture">
                <pic:pic>
                  <pic:nvPicPr>
                    <pic:cNvPr descr="Resultado de imagem para IFRN Central" id="0" name="image1.jpg"/>
                    <pic:cNvPicPr preferRelativeResize="0"/>
                  </pic:nvPicPr>
                  <pic:blipFill>
                    <a:blip r:embed="rId7"/>
                    <a:srcRect b="0" l="0" r="0" t="0"/>
                    <a:stretch>
                      <a:fillRect/>
                    </a:stretch>
                  </pic:blipFill>
                  <pic:spPr>
                    <a:xfrm>
                      <a:off x="0" y="0"/>
                      <a:ext cx="3305175"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line="240" w:lineRule="auto"/>
        <w:ind w:left="21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Fonte: Nicácio (2016).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ilustrações elaboradas pelo autor do trabalho, indicar a fonte conforme o Quadro a seguir.</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Quadro 1 – Livros mais emprestados no período de julho – setembro de 2017 na BCSF</w:t>
      </w:r>
    </w:p>
    <w:tbl>
      <w:tblPr>
        <w:tblStyle w:val="Table1"/>
        <w:tblW w:w="8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2409"/>
        <w:gridCol w:w="2410"/>
        <w:tblGridChange w:id="0">
          <w:tblGrid>
            <w:gridCol w:w="3936"/>
            <w:gridCol w:w="2409"/>
            <w:gridCol w:w="2410"/>
          </w:tblGrid>
        </w:tblGridChange>
      </w:tblGrid>
      <w:tr>
        <w:trPr>
          <w:cantSplit w:val="0"/>
          <w:trHeight w:val="705" w:hRule="atLeast"/>
          <w:tblHeader w:val="0"/>
        </w:trPr>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w:t>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DO CONHECIMENTO</w:t>
            </w:r>
          </w:p>
        </w:tc>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w:t>
            </w:r>
          </w:p>
        </w:tc>
      </w:tr>
      <w:tr>
        <w:trPr>
          <w:cantSplit w:val="0"/>
          <w:tblHeader w:val="0"/>
        </w:trPr>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Fundamentos de física: mecânica</w:t>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Física</w:t>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Halliday</w:t>
            </w:r>
          </w:p>
        </w:tc>
      </w:tr>
      <w:tr>
        <w:trPr>
          <w:cantSplit w:val="0"/>
          <w:tblHeader w:val="0"/>
        </w:trPr>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Fundamento de engenharia de petróleo</w:t>
            </w:r>
          </w:p>
        </w:tc>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Engenharia do petróleo </w:t>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José Eduardo Thomas (Organizador)</w:t>
            </w:r>
          </w:p>
        </w:tc>
      </w:tr>
      <w:tr>
        <w:trPr>
          <w:cantSplit w:val="0"/>
          <w:tblHeader w:val="0"/>
        </w:trPr>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Bernardo</w:t>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Literatura</w:t>
            </w:r>
          </w:p>
        </w:tc>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Graciliano Ramos</w:t>
            </w:r>
          </w:p>
        </w:tc>
      </w:tr>
    </w:tbl>
    <w:p w:rsidR="00000000" w:rsidDel="00000000" w:rsidP="00000000" w:rsidRDefault="00000000" w:rsidRPr="00000000" w14:paraId="0000004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Fonte: Elaboração própria em 2018.</w:t>
      </w:r>
    </w:p>
    <w:p w:rsidR="00000000" w:rsidDel="00000000" w:rsidP="00000000" w:rsidRDefault="00000000" w:rsidRPr="00000000" w14:paraId="0000004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2.1.1.1.1 Título da seção quinária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TÍTULO DA SEÇÃO PRIMÁRIA</w:t>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tabelas são elementos demonstrativos de síntese e o dado numérico é seu destaque central. Quando utilizadas seguem uma norma própria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apresentação tabular do Instituto Brasileiro de Geografia e Estatística (IBGE). </w:t>
      </w:r>
    </w:p>
    <w:p w:rsidR="00000000" w:rsidDel="00000000" w:rsidP="00000000" w:rsidRDefault="00000000" w:rsidRPr="00000000" w14:paraId="0000004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em negrito. </w:t>
      </w:r>
    </w:p>
    <w:p w:rsidR="00000000" w:rsidDel="00000000" w:rsidP="00000000" w:rsidRDefault="00000000" w:rsidRPr="00000000" w14:paraId="0000004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Lembre-se que todas as fontes da autoria de outrem, devem constar na lista de referências.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fonte deve vir na parte inferior da ilustração em tamanho menor, 10 ou 11.  </w:t>
      </w:r>
    </w:p>
    <w:p w:rsidR="00000000" w:rsidDel="00000000" w:rsidP="00000000" w:rsidRDefault="00000000" w:rsidRPr="00000000" w14:paraId="0000005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texto texto texto texto texto texto texto texto texto texto texto texto texto texto texto texto texto texto texto texto texto texto, conforme Tabela 1.</w:t>
      </w:r>
    </w:p>
    <w:p w:rsidR="00000000" w:rsidDel="00000000" w:rsidP="00000000" w:rsidRDefault="00000000" w:rsidRPr="00000000" w14:paraId="00000051">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2127" w:firstLine="709.00000000000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Exportações no Brasil</w:t>
      </w:r>
    </w:p>
    <w:tbl>
      <w:tblPr>
        <w:tblStyle w:val="Table2"/>
        <w:tblW w:w="5762.0" w:type="dxa"/>
        <w:jc w:val="center"/>
        <w:tblLayout w:type="fixed"/>
        <w:tblLook w:val="0000"/>
      </w:tblPr>
      <w:tblGrid>
        <w:gridCol w:w="2881"/>
        <w:gridCol w:w="2881"/>
        <w:tblGridChange w:id="0">
          <w:tblGrid>
            <w:gridCol w:w="2881"/>
            <w:gridCol w:w="2881"/>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53">
            <w:pPr>
              <w:spacing w:before="40" w:line="276" w:lineRule="auto"/>
              <w:rPr>
                <w:rFonts w:ascii="Arial" w:cs="Arial" w:eastAsia="Arial" w:hAnsi="Arial"/>
                <w:b w:val="1"/>
              </w:rPr>
            </w:pPr>
            <w:r w:rsidDel="00000000" w:rsidR="00000000" w:rsidRPr="00000000">
              <w:rPr>
                <w:rFonts w:ascii="Arial" w:cs="Arial" w:eastAsia="Arial" w:hAnsi="Arial"/>
                <w:b w:val="1"/>
                <w:rtl w:val="0"/>
              </w:rPr>
              <w:t xml:space="preserve">Exportação</w:t>
            </w:r>
          </w:p>
        </w:tc>
        <w:tc>
          <w:tcPr>
            <w:tcBorders>
              <w:top w:color="000000" w:space="0" w:sz="4" w:val="single"/>
              <w:bottom w:color="000000" w:space="0" w:sz="4" w:val="single"/>
            </w:tcBorders>
            <w:vAlign w:val="center"/>
          </w:tcPr>
          <w:p w:rsidR="00000000" w:rsidDel="00000000" w:rsidP="00000000" w:rsidRDefault="00000000" w:rsidRPr="00000000" w14:paraId="00000054">
            <w:pPr>
              <w:spacing w:before="40" w:line="276" w:lineRule="auto"/>
              <w:rPr>
                <w:rFonts w:ascii="Arial" w:cs="Arial" w:eastAsia="Arial" w:hAnsi="Arial"/>
                <w:b w:val="1"/>
              </w:rPr>
            </w:pPr>
            <w:r w:rsidDel="00000000" w:rsidR="00000000" w:rsidRPr="00000000">
              <w:rPr>
                <w:rFonts w:ascii="Arial" w:cs="Arial" w:eastAsia="Arial" w:hAnsi="Arial"/>
                <w:b w:val="1"/>
                <w:rtl w:val="0"/>
              </w:rPr>
              <w:t xml:space="preserve">Brasil</w:t>
            </w:r>
          </w:p>
        </w:tc>
      </w:tr>
      <w:tr>
        <w:trPr>
          <w:cantSplit w:val="0"/>
          <w:tblHeader w:val="0"/>
        </w:trPr>
        <w:tc>
          <w:tcPr>
            <w:tcBorders>
              <w:top w:color="000000" w:space="0" w:sz="4" w:val="single"/>
            </w:tcBorders>
            <w:vAlign w:val="center"/>
          </w:tcPr>
          <w:p w:rsidR="00000000" w:rsidDel="00000000" w:rsidP="00000000" w:rsidRDefault="00000000" w:rsidRPr="00000000" w14:paraId="00000055">
            <w:pPr>
              <w:spacing w:before="40" w:line="276" w:lineRule="auto"/>
              <w:rPr>
                <w:rFonts w:ascii="Arial" w:cs="Arial" w:eastAsia="Arial" w:hAnsi="Arial"/>
              </w:rPr>
            </w:pPr>
            <w:r w:rsidDel="00000000" w:rsidR="00000000" w:rsidRPr="00000000">
              <w:rPr>
                <w:rFonts w:ascii="Arial" w:cs="Arial" w:eastAsia="Arial" w:hAnsi="Arial"/>
                <w:rtl w:val="0"/>
              </w:rPr>
              <w:t xml:space="preserve">Feijão</w:t>
            </w:r>
          </w:p>
        </w:tc>
        <w:tc>
          <w:tcPr>
            <w:tcBorders>
              <w:top w:color="000000" w:space="0" w:sz="4" w:val="single"/>
            </w:tcBorders>
            <w:vAlign w:val="center"/>
          </w:tcPr>
          <w:p w:rsidR="00000000" w:rsidDel="00000000" w:rsidP="00000000" w:rsidRDefault="00000000" w:rsidRPr="00000000" w14:paraId="00000056">
            <w:pPr>
              <w:spacing w:before="40" w:line="276" w:lineRule="auto"/>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57">
            <w:pPr>
              <w:spacing w:before="40" w:line="276" w:lineRule="auto"/>
              <w:rPr>
                <w:rFonts w:ascii="Arial" w:cs="Arial" w:eastAsia="Arial" w:hAnsi="Arial"/>
              </w:rPr>
            </w:pPr>
            <w:r w:rsidDel="00000000" w:rsidR="00000000" w:rsidRPr="00000000">
              <w:rPr>
                <w:rFonts w:ascii="Arial" w:cs="Arial" w:eastAsia="Arial" w:hAnsi="Arial"/>
                <w:rtl w:val="0"/>
              </w:rPr>
              <w:t xml:space="preserve">Arroz</w:t>
            </w:r>
          </w:p>
        </w:tc>
        <w:tc>
          <w:tcPr>
            <w:vAlign w:val="center"/>
          </w:tcPr>
          <w:p w:rsidR="00000000" w:rsidDel="00000000" w:rsidP="00000000" w:rsidRDefault="00000000" w:rsidRPr="00000000" w14:paraId="00000058">
            <w:pPr>
              <w:spacing w:before="40" w:line="276" w:lineRule="auto"/>
              <w:rPr>
                <w:rFonts w:ascii="Arial" w:cs="Arial" w:eastAsia="Arial" w:hAnsi="Arial"/>
              </w:rPr>
            </w:pPr>
            <w:r w:rsidDel="00000000" w:rsidR="00000000" w:rsidRPr="00000000">
              <w:rPr>
                <w:rFonts w:ascii="Arial" w:cs="Arial" w:eastAsia="Arial" w:hAnsi="Arial"/>
                <w:rtl w:val="0"/>
              </w:rPr>
              <w:t xml:space="preserve">45%</w:t>
            </w:r>
          </w:p>
        </w:tc>
      </w:tr>
      <w:tr>
        <w:trPr>
          <w:cantSplit w:val="0"/>
          <w:tblHeader w:val="0"/>
        </w:trPr>
        <w:tc>
          <w:tcPr>
            <w:tcBorders>
              <w:bottom w:color="000000" w:space="0" w:sz="4" w:val="single"/>
            </w:tcBorders>
            <w:vAlign w:val="center"/>
          </w:tcPr>
          <w:p w:rsidR="00000000" w:rsidDel="00000000" w:rsidP="00000000" w:rsidRDefault="00000000" w:rsidRPr="00000000" w14:paraId="00000059">
            <w:pPr>
              <w:spacing w:before="40" w:line="276" w:lineRule="auto"/>
              <w:rPr>
                <w:rFonts w:ascii="Arial" w:cs="Arial" w:eastAsia="Arial" w:hAnsi="Arial"/>
              </w:rPr>
            </w:pPr>
            <w:r w:rsidDel="00000000" w:rsidR="00000000" w:rsidRPr="00000000">
              <w:rPr>
                <w:rFonts w:ascii="Arial" w:cs="Arial" w:eastAsia="Arial" w:hAnsi="Arial"/>
                <w:rtl w:val="0"/>
              </w:rPr>
              <w:t xml:space="preserve">Milho</w:t>
            </w:r>
          </w:p>
        </w:tc>
        <w:tc>
          <w:tcPr>
            <w:tcBorders>
              <w:bottom w:color="000000" w:space="0" w:sz="4" w:val="single"/>
            </w:tcBorders>
            <w:vAlign w:val="center"/>
          </w:tcPr>
          <w:p w:rsidR="00000000" w:rsidDel="00000000" w:rsidP="00000000" w:rsidRDefault="00000000" w:rsidRPr="00000000" w14:paraId="0000005A">
            <w:pPr>
              <w:spacing w:before="40" w:line="276" w:lineRule="auto"/>
              <w:rPr>
                <w:rFonts w:ascii="Arial" w:cs="Arial" w:eastAsia="Arial" w:hAnsi="Arial"/>
              </w:rPr>
            </w:pPr>
            <w:r w:rsidDel="00000000" w:rsidR="00000000" w:rsidRPr="00000000">
              <w:rPr>
                <w:rFonts w:ascii="Arial" w:cs="Arial" w:eastAsia="Arial" w:hAnsi="Arial"/>
                <w:rtl w:val="0"/>
              </w:rPr>
              <w:t xml:space="preserve">52%</w:t>
            </w:r>
          </w:p>
        </w:tc>
      </w:tr>
    </w:tbl>
    <w:p w:rsidR="00000000" w:rsidDel="00000000" w:rsidP="00000000" w:rsidRDefault="00000000" w:rsidRPr="00000000" w14:paraId="0000005B">
      <w:pPr>
        <w:spacing w:after="0" w:line="240" w:lineRule="auto"/>
        <w:ind w:left="708"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Fonte: Elaboração própria em 2018.</w:t>
      </w:r>
    </w:p>
    <w:p w:rsidR="00000000" w:rsidDel="00000000" w:rsidP="00000000" w:rsidRDefault="00000000" w:rsidRPr="00000000" w14:paraId="0000005C">
      <w:pPr>
        <w:spacing w:after="0" w:line="240" w:lineRule="auto"/>
        <w:ind w:left="708"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CONCLUSÃO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conclusão deve responder às questões da pesquisa, correspondentes aos objetivos e hipóteses, (opcional) apresentar recomendações e sugestões para trabalhos futuros.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 </w:t>
      </w:r>
      <w:r w:rsidDel="00000000" w:rsidR="00000000" w:rsidRPr="00000000">
        <w:rPr>
          <w:rFonts w:ascii="Times New Roman" w:cs="Times New Roman" w:eastAsia="Times New Roman" w:hAnsi="Times New Roman"/>
          <w:b w:val="1"/>
          <w:sz w:val="24"/>
          <w:szCs w:val="24"/>
          <w:rtl w:val="0"/>
        </w:rPr>
        <w:t xml:space="preserve">NBR 6023</w:t>
      </w:r>
      <w:r w:rsidDel="00000000" w:rsidR="00000000" w:rsidRPr="00000000">
        <w:rPr>
          <w:rFonts w:ascii="Times New Roman" w:cs="Times New Roman" w:eastAsia="Times New Roman" w:hAnsi="Times New Roman"/>
          <w:sz w:val="24"/>
          <w:szCs w:val="24"/>
          <w:rtl w:val="0"/>
        </w:rPr>
        <w:t xml:space="preserve">: informação e documentação: referências: elaboração. Rio de Janeiro: ABNT, 2018.</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6024</w:t>
      </w:r>
      <w:r w:rsidDel="00000000" w:rsidR="00000000" w:rsidRPr="00000000">
        <w:rPr>
          <w:rFonts w:ascii="Times New Roman" w:cs="Times New Roman" w:eastAsia="Times New Roman" w:hAnsi="Times New Roman"/>
          <w:sz w:val="24"/>
          <w:szCs w:val="24"/>
          <w:rtl w:val="0"/>
        </w:rPr>
        <w:t xml:space="preserve">: informação e documentação: numeração progressiva das seções de um documento escrito: apresentação. Rio de Janeiro: ABNT, 2012.</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6027</w:t>
      </w:r>
      <w:r w:rsidDel="00000000" w:rsidR="00000000" w:rsidRPr="00000000">
        <w:rPr>
          <w:rFonts w:ascii="Times New Roman" w:cs="Times New Roman" w:eastAsia="Times New Roman" w:hAnsi="Times New Roman"/>
          <w:sz w:val="24"/>
          <w:szCs w:val="24"/>
          <w:rtl w:val="0"/>
        </w:rPr>
        <w:t xml:space="preserve">: informação e documentação: sumário: apresentação. Rio de Janeiro: ABNT, 2003.</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NBR 6028</w:t>
      </w:r>
      <w:r w:rsidDel="00000000" w:rsidR="00000000" w:rsidRPr="00000000">
        <w:rPr>
          <w:rFonts w:ascii="Times New Roman" w:cs="Times New Roman" w:eastAsia="Times New Roman" w:hAnsi="Times New Roman"/>
          <w:smallCaps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informação e documentação: resumo: apresentação. Rio de Janeiro: ABNT, 2012.</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62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6033</w:t>
      </w:r>
      <w:r w:rsidDel="00000000" w:rsidR="00000000" w:rsidRPr="00000000">
        <w:rPr>
          <w:rFonts w:ascii="Times New Roman" w:cs="Times New Roman" w:eastAsia="Times New Roman" w:hAnsi="Times New Roman"/>
          <w:sz w:val="24"/>
          <w:szCs w:val="24"/>
          <w:rtl w:val="0"/>
        </w:rPr>
        <w:t xml:space="preserve">: ordem alfabética. Rio de Janeiro: ABNT, 1989.</w:t>
        <w:tab/>
      </w:r>
    </w:p>
    <w:p w:rsidR="00000000" w:rsidDel="00000000" w:rsidP="00000000" w:rsidRDefault="00000000" w:rsidRPr="00000000" w14:paraId="00000073">
      <w:pPr>
        <w:tabs>
          <w:tab w:val="left" w:leader="none" w:pos="622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10520</w:t>
      </w:r>
      <w:r w:rsidDel="00000000" w:rsidR="00000000" w:rsidRPr="00000000">
        <w:rPr>
          <w:rFonts w:ascii="Times New Roman" w:cs="Times New Roman" w:eastAsia="Times New Roman" w:hAnsi="Times New Roman"/>
          <w:sz w:val="24"/>
          <w:szCs w:val="24"/>
          <w:rtl w:val="0"/>
        </w:rPr>
        <w:t xml:space="preserve">: informação e documentação: citações em documentos: apresentação. Rio de Janeiro: ABNT, 2002.</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10719</w:t>
      </w:r>
      <w:r w:rsidDel="00000000" w:rsidR="00000000" w:rsidRPr="00000000">
        <w:rPr>
          <w:rFonts w:ascii="Times New Roman" w:cs="Times New Roman" w:eastAsia="Times New Roman" w:hAnsi="Times New Roman"/>
          <w:sz w:val="24"/>
          <w:szCs w:val="24"/>
          <w:rtl w:val="0"/>
        </w:rPr>
        <w:t xml:space="preserve">: informação e documentação: relatório técnico e/ou científico:</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Rio de Janeiro: ABNT, 2015.</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sz w:val="24"/>
          <w:szCs w:val="24"/>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NBR 14724</w:t>
      </w:r>
      <w:r w:rsidDel="00000000" w:rsidR="00000000" w:rsidRPr="00000000">
        <w:rPr>
          <w:rFonts w:ascii="Times New Roman" w:cs="Times New Roman" w:eastAsia="Times New Roman" w:hAnsi="Times New Roman"/>
          <w:sz w:val="24"/>
          <w:szCs w:val="24"/>
          <w:rtl w:val="0"/>
        </w:rPr>
        <w:t xml:space="preserve">: informação e documentação: trabalhos acadêmicos: apresentação. Rio de Janeiro: ABNT, 2011.</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Centro de Documentação e Disseminação de Informações. </w:t>
      </w:r>
      <w:r w:rsidDel="00000000" w:rsidR="00000000" w:rsidRPr="00000000">
        <w:rPr>
          <w:rFonts w:ascii="Times New Roman" w:cs="Times New Roman" w:eastAsia="Times New Roman" w:hAnsi="Times New Roman"/>
          <w:b w:val="1"/>
          <w:sz w:val="24"/>
          <w:szCs w:val="24"/>
          <w:rtl w:val="0"/>
        </w:rPr>
        <w:t xml:space="preserve">Normas de apresentação tabular</w:t>
      </w:r>
      <w:r w:rsidDel="00000000" w:rsidR="00000000" w:rsidRPr="00000000">
        <w:rPr>
          <w:rFonts w:ascii="Times New Roman" w:cs="Times New Roman" w:eastAsia="Times New Roman" w:hAnsi="Times New Roman"/>
          <w:sz w:val="24"/>
          <w:szCs w:val="24"/>
          <w:rtl w:val="0"/>
        </w:rPr>
        <w:t xml:space="preserve">. 3. ed. Rio de Janeiro: IBGE, 1993. Disponível em: </w:t>
      </w:r>
      <w:hyperlink r:id="rId8">
        <w:r w:rsidDel="00000000" w:rsidR="00000000" w:rsidRPr="00000000">
          <w:rPr>
            <w:rFonts w:ascii="Times New Roman" w:cs="Times New Roman" w:eastAsia="Times New Roman" w:hAnsi="Times New Roman"/>
            <w:color w:val="000000"/>
            <w:sz w:val="24"/>
            <w:szCs w:val="24"/>
            <w:u w:val="none"/>
            <w:rtl w:val="0"/>
          </w:rPr>
          <w:t xml:space="preserve">http://biblioteca.ibge.gov.br/visualizacao/livros/liv23907.pdf</w:t>
        </w:r>
      </w:hyperlink>
      <w:r w:rsidDel="00000000" w:rsidR="00000000" w:rsidRPr="00000000">
        <w:rPr>
          <w:rFonts w:ascii="Times New Roman" w:cs="Times New Roman" w:eastAsia="Times New Roman" w:hAnsi="Times New Roman"/>
          <w:sz w:val="24"/>
          <w:szCs w:val="24"/>
          <w:rtl w:val="0"/>
        </w:rPr>
        <w:t xml:space="preserve">. Acesso em: 2 maio 2019.</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FEDERAL DE EDUCAÇÃO, CIÊNCIA E TECNOLOGIA DO RIO GRANDE DO NORTE. </w:t>
      </w:r>
      <w:r w:rsidDel="00000000" w:rsidR="00000000" w:rsidRPr="00000000">
        <w:rPr>
          <w:rFonts w:ascii="Times New Roman" w:cs="Times New Roman" w:eastAsia="Times New Roman" w:hAnsi="Times New Roman"/>
          <w:b w:val="1"/>
          <w:sz w:val="24"/>
          <w:szCs w:val="24"/>
          <w:rtl w:val="0"/>
        </w:rPr>
        <w:t xml:space="preserve">Política de funcionamento do sistema de bibliotecas</w:t>
      </w:r>
      <w:r w:rsidDel="00000000" w:rsidR="00000000" w:rsidRPr="00000000">
        <w:rPr>
          <w:rFonts w:ascii="Times New Roman" w:cs="Times New Roman" w:eastAsia="Times New Roman" w:hAnsi="Times New Roman"/>
          <w:sz w:val="24"/>
          <w:szCs w:val="24"/>
          <w:rtl w:val="0"/>
        </w:rPr>
        <w:t xml:space="preserve">. Resolução nº 33/2015-CONSUP, de 20/11/2015. Natal: IFRN, 2015.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bookmarkStart w:colFirst="0" w:colLast="0" w:name="_s470apdko0y2" w:id="1"/>
      <w:bookmarkEnd w:id="1"/>
      <w:r w:rsidDel="00000000" w:rsidR="00000000" w:rsidRPr="00000000">
        <w:rPr>
          <w:rFonts w:ascii="Times New Roman" w:cs="Times New Roman" w:eastAsia="Times New Roman" w:hAnsi="Times New Roman"/>
          <w:sz w:val="24"/>
          <w:szCs w:val="24"/>
          <w:rtl w:val="0"/>
        </w:rPr>
        <w:t xml:space="preserve">INSTITUTO FEDERAL DE EDUCAÇÃO, CIÊNCIA E TECNOLOGIA DO RIO GRANDE DO NORTE. </w:t>
      </w:r>
      <w:r w:rsidDel="00000000" w:rsidR="00000000" w:rsidRPr="00000000">
        <w:rPr>
          <w:rFonts w:ascii="Times New Roman" w:cs="Times New Roman" w:eastAsia="Times New Roman" w:hAnsi="Times New Roman"/>
          <w:b w:val="1"/>
          <w:sz w:val="24"/>
          <w:szCs w:val="24"/>
          <w:rtl w:val="0"/>
        </w:rPr>
        <w:t xml:space="preserve">Guia de normalização</w:t>
      </w:r>
      <w:r w:rsidDel="00000000" w:rsidR="00000000" w:rsidRPr="00000000">
        <w:rPr>
          <w:rFonts w:ascii="Times New Roman" w:cs="Times New Roman" w:eastAsia="Times New Roman" w:hAnsi="Times New Roman"/>
          <w:sz w:val="24"/>
          <w:szCs w:val="24"/>
          <w:rtl w:val="0"/>
        </w:rPr>
        <w:t xml:space="preserve">:  relatório técnico/científico. Natal: IFRN, 2017.</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NICÁCIO, Rafael. IFRN: gabarito oficial do exame de seleção 2017.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NICÁCIO, Rafael. </w:t>
      </w:r>
      <w:r w:rsidDel="00000000" w:rsidR="00000000" w:rsidRPr="00000000">
        <w:rPr>
          <w:rFonts w:ascii="Times New Roman" w:cs="Times New Roman" w:eastAsia="Times New Roman" w:hAnsi="Times New Roman"/>
          <w:b w:val="1"/>
          <w:sz w:val="24"/>
          <w:szCs w:val="24"/>
          <w:rtl w:val="0"/>
        </w:rPr>
        <w:t xml:space="preserve">PORTALN10, [</w:t>
      </w:r>
      <w:r w:rsidDel="00000000" w:rsidR="00000000" w:rsidRPr="00000000">
        <w:rPr>
          <w:rFonts w:ascii="Times New Roman" w:cs="Times New Roman" w:eastAsia="Times New Roman" w:hAnsi="Times New Roman"/>
          <w:i w:val="1"/>
          <w:sz w:val="24"/>
          <w:szCs w:val="24"/>
          <w:rtl w:val="0"/>
        </w:rPr>
        <w:t xml:space="preserve">S.l.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24 out. 2016. Disponível em: http://oportaln10.com.br/ifrn-gabarito-oficial-do-exame-de-selecao-2017-53735. Acesso em: 16 jun. 2017.</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VASCONCELLOS, Maria José Esteves de. Pensando o pensamento sistêmico como o novo paradigma da ciência: o cientista novo-paradigmático.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VASCONCELLOS, Maria José Esteves de. </w:t>
      </w:r>
      <w:r w:rsidDel="00000000" w:rsidR="00000000" w:rsidRPr="00000000">
        <w:rPr>
          <w:rFonts w:ascii="Times New Roman" w:cs="Times New Roman" w:eastAsia="Times New Roman" w:hAnsi="Times New Roman"/>
          <w:b w:val="1"/>
          <w:sz w:val="24"/>
          <w:szCs w:val="24"/>
          <w:rtl w:val="0"/>
        </w:rPr>
        <w:t xml:space="preserve">Pensamento sistêmico</w:t>
      </w:r>
      <w:r w:rsidDel="00000000" w:rsidR="00000000" w:rsidRPr="00000000">
        <w:rPr>
          <w:rFonts w:ascii="Times New Roman" w:cs="Times New Roman" w:eastAsia="Times New Roman" w:hAnsi="Times New Roman"/>
          <w:sz w:val="24"/>
          <w:szCs w:val="24"/>
          <w:rtl w:val="0"/>
        </w:rPr>
        <w:t xml:space="preserve">. 6. ed. Campinas: Papirus, 2007. p. 147-184.</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GLOSSÁRIO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 elemento opcional. Lista em ordem alfabética de palavras ou expressões técnicas de uso restrito ou de sentido obscuro, utilizadas no texto, acompanhadas das respectivas definições. </w:t>
      </w:r>
    </w:p>
    <w:p w:rsidR="00000000" w:rsidDel="00000000" w:rsidP="00000000" w:rsidRDefault="00000000" w:rsidRPr="00000000" w14:paraId="00000089">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ind w:left="708"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APÊNDICE A - MAPEAR O FLUXO DOS SERVIÇOS DE NORMALIZAÇÃO OFERTADOS PELAS BIBLIOTECAS DA REDE DO IFRN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QUESTIONÁRIO</w:t>
      </w:r>
      <w:r w:rsidDel="00000000" w:rsidR="00000000" w:rsidRPr="00000000">
        <w:rPr>
          <w:rtl w:val="0"/>
        </w:rPr>
      </w:r>
    </w:p>
    <w:p w:rsidR="00000000" w:rsidDel="00000000" w:rsidP="00000000" w:rsidRDefault="00000000" w:rsidRPr="00000000" w14:paraId="0000009F">
      <w:pPr>
        <w:shd w:fill="ffffff" w:val="clear"/>
        <w:jc w:val="both"/>
        <w:rPr>
          <w:rFonts w:ascii="Times New Roman" w:cs="Times New Roman" w:eastAsia="Times New Roman" w:hAnsi="Times New Roman"/>
        </w:rPr>
      </w:pPr>
      <w:r w:rsidDel="00000000" w:rsidR="00000000" w:rsidRPr="00000000">
        <w:rPr>
          <w:rFonts w:ascii="Helvetica Neue" w:cs="Helvetica Neue" w:eastAsia="Helvetica Neue" w:hAnsi="Helvetica Neue"/>
          <w:color w:val="db4437"/>
          <w:sz w:val="20"/>
          <w:szCs w:val="20"/>
          <w:highlight w:val="white"/>
          <w:rtl w:val="0"/>
        </w:rPr>
        <w:t xml:space="preserve">*Obrigatório</w:t>
      </w: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Qual o Campus em que você trabalha? </w:t>
      </w:r>
      <w:r w:rsidDel="00000000" w:rsidR="00000000" w:rsidRPr="00000000">
        <w:rPr>
          <w:rFonts w:ascii="Times New Roman" w:cs="Times New Roman" w:eastAsia="Times New Roman" w:hAnsi="Times New Roman"/>
          <w:color w:val="db4437"/>
          <w:rtl w:val="0"/>
        </w:rPr>
        <w:t xml:space="preserve">*</w:t>
      </w: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A biblioteca em que você atua oferece que tipo de serviço de normalização?</w:t>
      </w:r>
      <w:r w:rsidDel="00000000" w:rsidR="00000000" w:rsidRPr="00000000">
        <w:rPr>
          <w:rFonts w:ascii="Times New Roman" w:cs="Times New Roman" w:eastAsia="Times New Roman" w:hAnsi="Times New Roman"/>
          <w:color w:val="db4437"/>
          <w:rtl w:val="0"/>
        </w:rPr>
        <w:t xml:space="preserve"> *</w:t>
      </w: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No Campus em que você atua há demanda de normalização? </w:t>
      </w:r>
      <w:r w:rsidDel="00000000" w:rsidR="00000000" w:rsidRPr="00000000">
        <w:rPr>
          <w:rFonts w:ascii="Times New Roman" w:cs="Times New Roman" w:eastAsia="Times New Roman" w:hAnsi="Times New Roman"/>
          <w:color w:val="db4437"/>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0A9">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Se sim, que tipo de documentos são normalizados?</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AC">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Possui guia de normalização próprio? </w:t>
      </w:r>
      <w:r w:rsidDel="00000000" w:rsidR="00000000" w:rsidRPr="00000000">
        <w:rPr>
          <w:rFonts w:ascii="Times New Roman" w:cs="Times New Roman" w:eastAsia="Times New Roman" w:hAnsi="Times New Roman"/>
          <w:color w:val="db4437"/>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0AE">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Se sim, qual?</w:t>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0B0">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Faz uso dos guias de normalização das Bibliotecas do Campus Natal-Central? </w:t>
      </w:r>
      <w:r w:rsidDel="00000000" w:rsidR="00000000" w:rsidRPr="00000000">
        <w:rPr>
          <w:rFonts w:ascii="Times New Roman" w:cs="Times New Roman" w:eastAsia="Times New Roman" w:hAnsi="Times New Roman"/>
          <w:color w:val="db4437"/>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0B2">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Fez alguma adaptação nos guias de normalização das Bibliotecas do Campus Natal-Central? </w:t>
      </w:r>
      <w:r w:rsidDel="00000000" w:rsidR="00000000" w:rsidRPr="00000000">
        <w:rPr>
          <w:rFonts w:ascii="Times New Roman" w:cs="Times New Roman" w:eastAsia="Times New Roman" w:hAnsi="Times New Roman"/>
          <w:color w:val="db4437"/>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0B4">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Se sim, qual?</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B6">
      <w:pPr>
        <w:jc w:val="both"/>
        <w:rPr>
          <w:rFonts w:ascii="Times New Roman" w:cs="Times New Roman" w:eastAsia="Times New Roman" w:hAnsi="Times New Roman"/>
          <w:color w:val="db4437"/>
          <w:highlight w:val="white"/>
        </w:rPr>
      </w:pPr>
      <w:r w:rsidDel="00000000" w:rsidR="00000000" w:rsidRPr="00000000">
        <w:rPr>
          <w:rFonts w:ascii="Times New Roman" w:cs="Times New Roman" w:eastAsia="Times New Roman" w:hAnsi="Times New Roman"/>
          <w:color w:val="000000"/>
          <w:highlight w:val="white"/>
          <w:rtl w:val="0"/>
        </w:rPr>
        <w:t xml:space="preserve">7) Descreva como funciona o fluxo do serviço de normalização na biblioteca em que você atua. </w:t>
      </w:r>
      <w:r w:rsidDel="00000000" w:rsidR="00000000" w:rsidRPr="00000000">
        <w:rPr>
          <w:rFonts w:ascii="Times New Roman" w:cs="Times New Roman" w:eastAsia="Times New Roman" w:hAnsi="Times New Roman"/>
          <w:color w:val="db4437"/>
          <w:highlight w:val="white"/>
          <w:rtl w:val="0"/>
        </w:rPr>
        <w:t xml:space="preserve">*</w:t>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A – TRECHO DA POLÍTICA DE FUNCIONAMENTO DO SISTEMA DE BIBLIOTECAS DO IFRN</w:t>
      </w:r>
    </w:p>
    <w:tbl>
      <w:tblPr>
        <w:tblStyle w:val="Table3"/>
        <w:tblW w:w="8859.0" w:type="dxa"/>
        <w:jc w:val="left"/>
        <w:tblInd w:w="70.0" w:type="dxa"/>
        <w:tblLayout w:type="fixed"/>
        <w:tblLook w:val="0000"/>
      </w:tblPr>
      <w:tblGrid>
        <w:gridCol w:w="8859"/>
        <w:tblGridChange w:id="0">
          <w:tblGrid>
            <w:gridCol w:w="8859"/>
          </w:tblGrid>
        </w:tblGridChange>
      </w:tblGrid>
      <w:tr>
        <w:trPr>
          <w:cantSplit w:val="0"/>
          <w:trHeight w:val="11215" w:hRule="atLeast"/>
          <w:tblHeader w:val="0"/>
        </w:trPr>
        <w:tc>
          <w:tcPr>
            <w:shd w:fill="bfbfbf" w:val="clear"/>
          </w:tcPr>
          <w:p w:rsidR="00000000" w:rsidDel="00000000" w:rsidP="00000000" w:rsidRDefault="00000000" w:rsidRPr="00000000" w14:paraId="000000B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POLÍTICA DE FUNCIONAMENTO DO SISTEMA DE BIBLIOTECAS </w:t>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(Aprovada pela Resolução nº 33/2015-CONSUP, de 20/11/2015)</w:t>
            </w:r>
          </w:p>
          <w:p w:rsidR="00000000" w:rsidDel="00000000" w:rsidP="00000000" w:rsidRDefault="00000000" w:rsidRPr="00000000" w14:paraId="000000BF">
            <w:pPr>
              <w:ind w:left="65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6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 16. A Gestão de Empréstimo, Informação e Documentação envolvem os seguintes serviços: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Serviço de Informação e Referência; e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Serviço de Circulação.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ind w:left="10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§1º O Serviço de Informação e Referência envolve as seguintes tarefas: </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as informações solicitadas pessoalmente, por telefone ou por correspondência em geral; </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orientar os usuários na utilização do acervo;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as necessidades dos usuários, para orientar à aquisição de material informacional a serem incorporados ao acervo; </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conhecer e aplicar as normas técnicas nacionais e internacionais na orientação aos usuários, de acordo com a necessidade; </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as atualizações das normas técnicas vigentes; </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manual de orientação aos trabalhos acadêmicos; </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orientar os usuários nas atividades de ensino, pesquisa e extensão; </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normalizar as publicações editadas pelo IFRN;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disponibilizar e divulgar informações provenientes de bases de dados nacionais e internacionais;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levantamento bibliográfico mediante solicitação da comunidade acadêmica; </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oferecer serviços de comutação bibliográfica de materiais disponíveis no Brasil e no exterior;</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visitas técnicas aos novos alunos, orientando-os sobre os serviços da Biblioteca; </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XIII. auxiliar os usuários na realização de pesquisas acadêmicas em bases de dados disponíveis na Biblioteca; </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treinamento aos usuários quanto ao uso e acesso às fontes informacionais; </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e divulgar as normas de utilização do setor; e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31"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atualizado o acervo da Biblioteca, especialmente as obras de referência.</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Fonte: Instituto Federal de Educação, Ciência e Tecnologia do Rio Grande do Norte (2015).</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AGRADECIMENTOS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 elemento opcional, sendo o último elemento pós-textual. Trata-se de um texto em que o autor faz agradecimentos dirigidos àqueles que contribuíram de maneira relevante à elaboração do trabalho. Segue a mesma tipologia das seções primárias.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CAPES, pelo apoio financeiro com a manutenção da bolsa de auxílio.</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Prof. Dr. Xxxxx Xxxxx Xxxxx, pela excelente orientação.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professores participantes da banca examinadora Xxxxx Xxxxx Xxxxx e Xxxxx Xxxxx Xxxxx pelo tempo, pelas valiosas colaborações e sugestões.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professores entrevistados, pelo tempo concedido nas entrevistas.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colegas da turma de mestrado, pelas reflexões, críticas e sugestões recebidas.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Aluna do curso de Xxxx do Instituição Federal de Educação, Ciência e Tecnologia do Rio Grande do Norte.</w:t>
      </w:r>
    </w:p>
  </w:footnote>
  <w:footnote w:id="1">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Professor(a) Mestre do curso de Xxxx do Instituição Federal de Educação, Ciência e Tecnologia do Rio Grande do Norte.</w:t>
      </w:r>
      <w:r w:rsidDel="00000000" w:rsidR="00000000" w:rsidRPr="00000000">
        <w:rPr>
          <w:rtl w:val="0"/>
        </w:rPr>
      </w:r>
    </w:p>
  </w:footnote>
  <w:footnote w:id="2">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endereço 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 Norma de apresentação tabular do IBGE encontra-se na lista de referências.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widowControl w:val="0"/>
      <w:spacing w:after="120" w:before="240" w:line="240" w:lineRule="auto"/>
    </w:pPr>
    <w:rPr>
      <w:rFonts w:ascii="Arial" w:cs="Arial" w:eastAsia="Arial" w:hAnsi="Arial"/>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biblioteca.ibge.gov.br/visualizacao/livros/liv2390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